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55" w:rsidRDefault="00460F55" w:rsidP="00460F55">
      <w:pPr>
        <w:pStyle w:val="Heading1"/>
      </w:pPr>
      <w:r>
        <w:t>What to Review</w:t>
      </w:r>
    </w:p>
    <w:p w:rsidR="003436E5" w:rsidRDefault="003436E5" w:rsidP="003436E5">
      <w:r>
        <w:t>What should you review? I’m glad you asked!</w:t>
      </w:r>
    </w:p>
    <w:p w:rsidR="003436E5" w:rsidRPr="00460F55" w:rsidRDefault="003436E5" w:rsidP="00460F55">
      <w:pPr>
        <w:pStyle w:val="Heading2"/>
        <w:numPr>
          <w:ilvl w:val="0"/>
          <w:numId w:val="14"/>
        </w:numPr>
        <w:ind w:left="360"/>
      </w:pPr>
      <w:r w:rsidRPr="00460F55">
        <w:t>Compare Budget to Actuals</w:t>
      </w:r>
    </w:p>
    <w:p w:rsidR="003436E5" w:rsidRDefault="003436E5" w:rsidP="00460F55">
      <w:pPr>
        <w:ind w:left="360"/>
      </w:pPr>
      <w:r>
        <w:t xml:space="preserve">Take a quick look at the BBA (Budget Balance Available) for all your ChartField combinations. </w:t>
      </w:r>
    </w:p>
    <w:p w:rsidR="003436E5" w:rsidRDefault="003436E5" w:rsidP="00460F55">
      <w:pPr>
        <w:ind w:left="360"/>
        <w:jc w:val="center"/>
      </w:pPr>
      <w:r>
        <w:t>BBA = Total Budget - Year to Date - Pre/</w:t>
      </w:r>
      <w:proofErr w:type="spellStart"/>
      <w:r>
        <w:t>Encumb</w:t>
      </w:r>
      <w:proofErr w:type="spellEnd"/>
    </w:p>
    <w:p w:rsidR="003436E5" w:rsidRDefault="003436E5" w:rsidP="00460F55">
      <w:pPr>
        <w:ind w:left="360"/>
      </w:pPr>
      <w:r>
        <w:t xml:space="preserve">In plain language, the Budget Balance Available </w:t>
      </w:r>
      <w:r w:rsidRPr="003436E5">
        <w:rPr>
          <w:b/>
        </w:rPr>
        <w:t>equals</w:t>
      </w:r>
      <w:r>
        <w:t xml:space="preserve"> the Total Budget for the fiscal year </w:t>
      </w:r>
      <w:r w:rsidRPr="003436E5">
        <w:rPr>
          <w:b/>
        </w:rPr>
        <w:t xml:space="preserve">less </w:t>
      </w:r>
      <w:r>
        <w:t xml:space="preserve">the actual financial transactions for the year so far and </w:t>
      </w:r>
      <w:r w:rsidRPr="003436E5">
        <w:rPr>
          <w:b/>
        </w:rPr>
        <w:t>less</w:t>
      </w:r>
      <w:r>
        <w:t xml:space="preserve"> the financial transactions that are planned (e.g., personnel expenses, open purchase orders) but that have not yet occurred.</w:t>
      </w:r>
    </w:p>
    <w:p w:rsidR="00FF12C0" w:rsidRDefault="00FF12C0" w:rsidP="00460F55">
      <w:pPr>
        <w:ind w:left="360"/>
      </w:pPr>
      <w:r w:rsidRPr="007A62CD">
        <w:rPr>
          <w:b/>
        </w:rPr>
        <w:t>Keep an eye out for negative – or low – BBA which indicates that your expenses have exceeded the planned budget for the ChartField combination.</w:t>
      </w:r>
      <w:r>
        <w:t xml:space="preserve"> This may or may not be an issue. Are you expecting a transfer of cash from a sponsor area? Are you planning to move budget from one ChartField combination to another? Were there any unexpected transactions for the Period?</w:t>
      </w:r>
    </w:p>
    <w:p w:rsidR="00B144F4" w:rsidRPr="00460F55" w:rsidRDefault="00B144F4" w:rsidP="00460F55">
      <w:pPr>
        <w:pStyle w:val="Heading2"/>
        <w:numPr>
          <w:ilvl w:val="0"/>
          <w:numId w:val="14"/>
        </w:numPr>
        <w:ind w:left="360"/>
      </w:pPr>
      <w:r w:rsidRPr="00460F55">
        <w:t>Spot Check Transfers In and Out</w:t>
      </w:r>
      <w:bookmarkStart w:id="0" w:name="_GoBack"/>
      <w:bookmarkEnd w:id="0"/>
    </w:p>
    <w:p w:rsidR="00B144F4" w:rsidRDefault="00DE795E" w:rsidP="00460F55">
      <w:pPr>
        <w:ind w:left="360"/>
      </w:pPr>
      <w:r>
        <w:t xml:space="preserve">Review Major Account Transfer transaction rows for the period. </w:t>
      </w:r>
      <w:r w:rsidR="00D20408">
        <w:t>Include the Net Changes column (if you excluded it) and</w:t>
      </w:r>
      <w:r w:rsidR="00D20408" w:rsidRPr="00D20408">
        <w:rPr>
          <w:b/>
        </w:rPr>
        <w:t xml:space="preserve"> look for funding coming in from or going out to sponsor areas or other OCIO areas</w:t>
      </w:r>
      <w:r w:rsidR="00D20408">
        <w:t xml:space="preserve">. </w:t>
      </w:r>
      <w:r w:rsidR="00D20408">
        <w:t xml:space="preserve">Is there anything unexpected? Or entries you expected that are not there? </w:t>
      </w:r>
    </w:p>
    <w:p w:rsidR="00FF12C0" w:rsidRPr="007A62CD" w:rsidRDefault="005D0E38" w:rsidP="00460F55">
      <w:pPr>
        <w:pStyle w:val="Heading2"/>
        <w:numPr>
          <w:ilvl w:val="0"/>
          <w:numId w:val="14"/>
        </w:numPr>
        <w:ind w:left="360"/>
      </w:pPr>
      <w:r w:rsidRPr="007A62CD">
        <w:t>Review Personnel Expenses</w:t>
      </w:r>
    </w:p>
    <w:p w:rsidR="005D0E38" w:rsidRDefault="00C766FB" w:rsidP="00460F55">
      <w:pPr>
        <w:ind w:left="360"/>
      </w:pPr>
      <w:r>
        <w:t xml:space="preserve">You can drill to the specific employees who make up the personnel expenses for any ChartField combination. </w:t>
      </w:r>
      <w:r w:rsidR="00BA2B6C" w:rsidRPr="00F44A6E">
        <w:rPr>
          <w:b/>
        </w:rPr>
        <w:t xml:space="preserve">Review to determine if the employees paid </w:t>
      </w:r>
      <w:r w:rsidR="00D20408">
        <w:rPr>
          <w:b/>
        </w:rPr>
        <w:t>should have been charged to your ChartField. Review payroll amounts to ensure they are reasonable</w:t>
      </w:r>
      <w:r w:rsidR="00D20408">
        <w:t xml:space="preserve"> – it may be helpful to drill into the Year to Date</w:t>
      </w:r>
      <w:r w:rsidR="003B08FD">
        <w:t xml:space="preserve"> value to see if salaries were adjusted from last month</w:t>
      </w:r>
      <w:r w:rsidR="00BA2B6C" w:rsidRPr="00F44A6E">
        <w:rPr>
          <w:b/>
        </w:rPr>
        <w:t>.</w:t>
      </w:r>
      <w:r w:rsidR="00BA2B6C">
        <w:t xml:space="preserve"> </w:t>
      </w:r>
      <w:r>
        <w:t>To drill to the HR information:</w:t>
      </w:r>
    </w:p>
    <w:p w:rsidR="00C766FB" w:rsidRDefault="00BA2B6C" w:rsidP="00460F55">
      <w:pPr>
        <w:pStyle w:val="ListParagraph"/>
        <w:numPr>
          <w:ilvl w:val="0"/>
          <w:numId w:val="8"/>
        </w:numPr>
        <w:ind w:left="1080"/>
      </w:pPr>
      <w:r>
        <w:t xml:space="preserve">Locate rows where the </w:t>
      </w:r>
      <w:r w:rsidRPr="003452E3">
        <w:rPr>
          <w:b/>
        </w:rPr>
        <w:t>Major Account</w:t>
      </w:r>
      <w:r>
        <w:t xml:space="preserve"> is “Personnel” and there is a </w:t>
      </w:r>
      <w:r w:rsidRPr="003452E3">
        <w:rPr>
          <w:b/>
        </w:rPr>
        <w:t xml:space="preserve">Period </w:t>
      </w:r>
      <w:r>
        <w:t>value.</w:t>
      </w:r>
    </w:p>
    <w:p w:rsidR="00BA2B6C" w:rsidRDefault="00BA2B6C" w:rsidP="00460F55">
      <w:pPr>
        <w:pStyle w:val="ListParagraph"/>
        <w:numPr>
          <w:ilvl w:val="0"/>
          <w:numId w:val="8"/>
        </w:numPr>
        <w:ind w:left="1080"/>
      </w:pPr>
      <w:r>
        <w:t xml:space="preserve">Click the Period value link and select </w:t>
      </w:r>
      <w:r w:rsidRPr="003452E3">
        <w:rPr>
          <w:b/>
        </w:rPr>
        <w:t>HR Drill</w:t>
      </w:r>
      <w:r>
        <w:t>.</w:t>
      </w:r>
    </w:p>
    <w:p w:rsidR="00BA2B6C" w:rsidRDefault="00BA2B6C" w:rsidP="00460F55">
      <w:pPr>
        <w:ind w:left="720"/>
      </w:pPr>
      <w:r>
        <w:t>A new Income Statement Detail – HR-GL Reconciliation tab/window will open.</w:t>
      </w:r>
    </w:p>
    <w:p w:rsidR="00BA2B6C" w:rsidRDefault="00BA2B6C" w:rsidP="00460F55">
      <w:pPr>
        <w:pStyle w:val="ListParagraph"/>
        <w:numPr>
          <w:ilvl w:val="0"/>
          <w:numId w:val="8"/>
        </w:numPr>
        <w:ind w:left="1080"/>
      </w:pPr>
      <w:r>
        <w:t>Review the employees – and related Payroll values – that comprise the monthly personnel expense.</w:t>
      </w:r>
    </w:p>
    <w:p w:rsidR="00BA2B6C" w:rsidRDefault="00705098" w:rsidP="00460F55">
      <w:pPr>
        <w:ind w:left="720"/>
      </w:pPr>
      <w:r>
        <w:t xml:space="preserve">Have an employee whose personnel expense </w:t>
      </w:r>
      <w:r w:rsidR="007A62CD">
        <w:t>is</w:t>
      </w:r>
      <w:r>
        <w:t xml:space="preserve"> spread over more than one ChartField combination? </w:t>
      </w:r>
      <w:r w:rsidR="007A62CD">
        <w:t xml:space="preserve">Click the </w:t>
      </w:r>
      <w:proofErr w:type="spellStart"/>
      <w:r w:rsidR="007A62CD">
        <w:t>EmplID</w:t>
      </w:r>
      <w:proofErr w:type="spellEnd"/>
      <w:r w:rsidR="007A62CD">
        <w:t xml:space="preserve"> link and select Drill to all </w:t>
      </w:r>
      <w:proofErr w:type="spellStart"/>
      <w:r w:rsidR="007A62CD">
        <w:t>Chartfields</w:t>
      </w:r>
      <w:proofErr w:type="spellEnd"/>
      <w:r w:rsidR="007A62CD">
        <w:t xml:space="preserve"> to view.</w:t>
      </w:r>
    </w:p>
    <w:p w:rsidR="00BA2B6C" w:rsidRDefault="00BA2B6C" w:rsidP="00460F55">
      <w:pPr>
        <w:pStyle w:val="ListParagraph"/>
        <w:numPr>
          <w:ilvl w:val="0"/>
          <w:numId w:val="8"/>
        </w:numPr>
        <w:ind w:left="1080"/>
      </w:pPr>
      <w:r>
        <w:t xml:space="preserve">Close the new tab/window or click </w:t>
      </w:r>
      <w:r w:rsidRPr="003452E3">
        <w:rPr>
          <w:b/>
        </w:rPr>
        <w:t>Return</w:t>
      </w:r>
      <w:r>
        <w:t xml:space="preserve"> at the bottom of the window. If you click Return, </w:t>
      </w:r>
      <w:r w:rsidR="007A62CD">
        <w:t xml:space="preserve">you will return to the main Income Statement Analysis in the new tab/window. The original </w:t>
      </w:r>
      <w:r w:rsidR="007A62CD">
        <w:lastRenderedPageBreak/>
        <w:t>Income Statement Analysis tab/window will still be open. Take care and police your windows; you can open a lot of them very quickly!</w:t>
      </w:r>
    </w:p>
    <w:p w:rsidR="003436E5" w:rsidRDefault="00BA2B6C" w:rsidP="00460F55">
      <w:pPr>
        <w:ind w:left="720"/>
      </w:pPr>
      <w:r>
        <w:t xml:space="preserve">You can also drill into the Year to Date personnel values. </w:t>
      </w:r>
      <w:r w:rsidR="007A62CD">
        <w:t>The steps are the same as above except that you drill to HR from the Year to Date value link.</w:t>
      </w:r>
    </w:p>
    <w:p w:rsidR="00B144F4" w:rsidRPr="00B144F4" w:rsidRDefault="00B144F4" w:rsidP="00460F55">
      <w:pPr>
        <w:pStyle w:val="Heading2"/>
        <w:numPr>
          <w:ilvl w:val="0"/>
          <w:numId w:val="14"/>
        </w:numPr>
        <w:ind w:left="360"/>
      </w:pPr>
      <w:r w:rsidRPr="00B144F4">
        <w:t xml:space="preserve">Spot Check </w:t>
      </w:r>
      <w:r>
        <w:t xml:space="preserve">Other </w:t>
      </w:r>
      <w:r w:rsidRPr="00B144F4">
        <w:t>Expenses</w:t>
      </w:r>
    </w:p>
    <w:p w:rsidR="00B144F4" w:rsidRDefault="00B144F4" w:rsidP="00460F55">
      <w:pPr>
        <w:ind w:left="360"/>
      </w:pPr>
      <w:r>
        <w:t xml:space="preserve">Expenditures for non-personnel expenses (e.g., </w:t>
      </w:r>
      <w:r w:rsidR="00DE795E">
        <w:t>Major Account Supplies &amp; Service or Equipment</w:t>
      </w:r>
      <w:r>
        <w:t xml:space="preserve">) are also included in the Income Statement. </w:t>
      </w:r>
      <w:r w:rsidRPr="003F3D37">
        <w:rPr>
          <w:b/>
        </w:rPr>
        <w:t xml:space="preserve">Look for unexpected, or unexpectedly high or low, </w:t>
      </w:r>
      <w:r w:rsidR="003F3D37">
        <w:rPr>
          <w:b/>
        </w:rPr>
        <w:t>expenses</w:t>
      </w:r>
      <w:r w:rsidRPr="003F3D37">
        <w:rPr>
          <w:b/>
        </w:rPr>
        <w:t>.</w:t>
      </w:r>
      <w:r>
        <w:t xml:space="preserve"> You can drill to additional detail here as well.</w:t>
      </w:r>
    </w:p>
    <w:p w:rsidR="00B144F4" w:rsidRDefault="00DE795E" w:rsidP="00460F55">
      <w:pPr>
        <w:pStyle w:val="ListParagraph"/>
        <w:numPr>
          <w:ilvl w:val="0"/>
          <w:numId w:val="10"/>
        </w:numPr>
        <w:ind w:left="1080"/>
      </w:pPr>
      <w:r>
        <w:t xml:space="preserve">Locate rows where the </w:t>
      </w:r>
      <w:r w:rsidRPr="003452E3">
        <w:rPr>
          <w:b/>
        </w:rPr>
        <w:t xml:space="preserve">Major Account </w:t>
      </w:r>
      <w:r>
        <w:t>is “Supplies &amp; Service” or “Equipment” and there is a Period value.</w:t>
      </w:r>
    </w:p>
    <w:p w:rsidR="00DE795E" w:rsidRDefault="00DE795E" w:rsidP="00460F55">
      <w:pPr>
        <w:pStyle w:val="ListParagraph"/>
        <w:numPr>
          <w:ilvl w:val="0"/>
          <w:numId w:val="10"/>
        </w:numPr>
        <w:ind w:left="1080"/>
      </w:pPr>
      <w:r>
        <w:t xml:space="preserve">Click the Period value link and select </w:t>
      </w:r>
      <w:r w:rsidRPr="003452E3">
        <w:rPr>
          <w:b/>
        </w:rPr>
        <w:t>Period Drill</w:t>
      </w:r>
      <w:r>
        <w:t>.</w:t>
      </w:r>
    </w:p>
    <w:p w:rsidR="00DE795E" w:rsidRDefault="00DE795E" w:rsidP="00460F55">
      <w:pPr>
        <w:ind w:left="720"/>
      </w:pPr>
      <w:r>
        <w:t>A new Income Statement Detail – Detail Journals – Period tab/window will open.</w:t>
      </w:r>
    </w:p>
    <w:p w:rsidR="00DE795E" w:rsidRDefault="00DE795E" w:rsidP="00460F55">
      <w:pPr>
        <w:pStyle w:val="ListParagraph"/>
        <w:numPr>
          <w:ilvl w:val="0"/>
          <w:numId w:val="10"/>
        </w:numPr>
        <w:ind w:left="1080"/>
      </w:pPr>
      <w:r>
        <w:t xml:space="preserve">Review the information available. </w:t>
      </w:r>
      <w:r w:rsidR="00DB2DDA">
        <w:t>If you recognize the expense and it appears as expected, you do not have to drill to additional information as described below.</w:t>
      </w:r>
    </w:p>
    <w:p w:rsidR="003D3750" w:rsidRDefault="002D440A" w:rsidP="00460F55">
      <w:pPr>
        <w:ind w:left="720"/>
      </w:pPr>
      <w:r>
        <w:t xml:space="preserve">Detail Journals </w:t>
      </w:r>
      <w:r w:rsidR="00DE795E">
        <w:t>Review Tips:</w:t>
      </w:r>
    </w:p>
    <w:p w:rsidR="00D603F8" w:rsidRDefault="00DE795E" w:rsidP="00460F55">
      <w:pPr>
        <w:pStyle w:val="ListParagraph"/>
        <w:numPr>
          <w:ilvl w:val="1"/>
          <w:numId w:val="7"/>
        </w:numPr>
        <w:ind w:left="1080"/>
      </w:pPr>
      <w:r>
        <w:t>If the Source of the entry is “ONL” (Online), it is a journal entry entered by a specific system user (operator).</w:t>
      </w:r>
      <w:r w:rsidR="003F3D37">
        <w:t xml:space="preserve"> </w:t>
      </w:r>
      <w:r w:rsidR="00D603F8">
        <w:t xml:space="preserve"> These entries could be charges from other university units (IDB – Interdepartmental Billing)</w:t>
      </w:r>
      <w:r w:rsidR="004B0DF8">
        <w:t xml:space="preserve"> such as Stores and </w:t>
      </w:r>
      <w:proofErr w:type="spellStart"/>
      <w:r w:rsidR="004B0DF8">
        <w:t>Uniprint</w:t>
      </w:r>
      <w:proofErr w:type="spellEnd"/>
      <w:r w:rsidR="004B0DF8">
        <w:t xml:space="preserve"> or a journal recorded by OCIO Finance or university Office of Accounting team members.</w:t>
      </w:r>
    </w:p>
    <w:p w:rsidR="00DB2DDA" w:rsidRDefault="003F3D37" w:rsidP="00460F55">
      <w:pPr>
        <w:pStyle w:val="ListParagraph"/>
        <w:numPr>
          <w:ilvl w:val="1"/>
          <w:numId w:val="7"/>
        </w:numPr>
        <w:ind w:left="1080"/>
      </w:pPr>
      <w:r>
        <w:t xml:space="preserve">If the Operator ID </w:t>
      </w:r>
      <w:r w:rsidR="009B4CB0">
        <w:t xml:space="preserve">is an OCIO Finance staff member (e.g., ROSS3527, </w:t>
      </w:r>
      <w:r>
        <w:t xml:space="preserve">DAVI7072), the journal is often </w:t>
      </w:r>
      <w:r w:rsidR="00D603F8">
        <w:t>transferring expenses from one OCIO area to another</w:t>
      </w:r>
      <w:r>
        <w:t>.</w:t>
      </w:r>
      <w:r w:rsidR="00D603F8">
        <w:t xml:space="preserve"> These can be correcting entries or strategic entries to support reorganization within the OCIO.</w:t>
      </w:r>
      <w:r w:rsidR="00DB2DDA">
        <w:t xml:space="preserve"> </w:t>
      </w:r>
    </w:p>
    <w:p w:rsidR="003F3D37" w:rsidRDefault="00DB2DDA" w:rsidP="00460F55">
      <w:pPr>
        <w:pStyle w:val="ListParagraph"/>
        <w:numPr>
          <w:ilvl w:val="1"/>
          <w:numId w:val="7"/>
        </w:numPr>
        <w:ind w:left="1080"/>
      </w:pPr>
      <w:r>
        <w:t xml:space="preserve">If you don’t recognize </w:t>
      </w:r>
      <w:r w:rsidR="006F2D5A">
        <w:t>the</w:t>
      </w:r>
      <w:r>
        <w:t xml:space="preserve"> “ONL” </w:t>
      </w:r>
      <w:r w:rsidR="006F2D5A">
        <w:t>entry by the Journal Line</w:t>
      </w:r>
      <w:r>
        <w:t>, m</w:t>
      </w:r>
      <w:r w:rsidR="003F3D37">
        <w:t>ake a mental note of the Line number, click the Journal ID</w:t>
      </w:r>
      <w:r w:rsidR="006F2D5A">
        <w:t xml:space="preserve"> link</w:t>
      </w:r>
      <w:r w:rsidR="003F3D37">
        <w:t>, and select</w:t>
      </w:r>
      <w:r w:rsidR="003F3D37" w:rsidRPr="003452E3">
        <w:rPr>
          <w:b/>
        </w:rPr>
        <w:t xml:space="preserve"> Drill to Journal</w:t>
      </w:r>
      <w:r w:rsidR="003F3D37">
        <w:t xml:space="preserve"> to see additional information. </w:t>
      </w:r>
      <w:r>
        <w:t>Loading the journal d</w:t>
      </w:r>
      <w:r w:rsidR="00D603F8">
        <w:t>etail can take several moments.</w:t>
      </w:r>
    </w:p>
    <w:p w:rsidR="006F2D5A" w:rsidRDefault="006F2D5A" w:rsidP="00460F55">
      <w:pPr>
        <w:pStyle w:val="ListParagraph"/>
        <w:numPr>
          <w:ilvl w:val="1"/>
          <w:numId w:val="7"/>
        </w:numPr>
        <w:ind w:left="1080"/>
      </w:pPr>
      <w:r>
        <w:t>If the Source of the entry is “AP” (Accounts Payable), it is a system generated journal based on invoices received and processed by Accounts Payable.</w:t>
      </w:r>
    </w:p>
    <w:p w:rsidR="003D3750" w:rsidRDefault="006F2D5A" w:rsidP="00460F55">
      <w:pPr>
        <w:pStyle w:val="ListParagraph"/>
        <w:numPr>
          <w:ilvl w:val="1"/>
          <w:numId w:val="7"/>
        </w:numPr>
        <w:ind w:left="1080"/>
      </w:pPr>
      <w:r>
        <w:t xml:space="preserve">For more information about an “AP” entry, click the Line link, and select </w:t>
      </w:r>
      <w:r w:rsidRPr="003452E3">
        <w:rPr>
          <w:b/>
        </w:rPr>
        <w:t>AP Drill</w:t>
      </w:r>
      <w:r>
        <w:t xml:space="preserve">. </w:t>
      </w:r>
      <w:r w:rsidR="003D3750">
        <w:t xml:space="preserve">From the AP Detail information, you can review the </w:t>
      </w:r>
      <w:proofErr w:type="spellStart"/>
      <w:r w:rsidR="003D3750">
        <w:t>eRequest</w:t>
      </w:r>
      <w:proofErr w:type="spellEnd"/>
      <w:r w:rsidR="003D3750">
        <w:t xml:space="preserve"> ID, Voucher Line Description, and PO ID.</w:t>
      </w:r>
    </w:p>
    <w:p w:rsidR="006F2D5A" w:rsidRDefault="006F2D5A" w:rsidP="00460F55">
      <w:pPr>
        <w:pStyle w:val="ListParagraph"/>
        <w:numPr>
          <w:ilvl w:val="1"/>
          <w:numId w:val="7"/>
        </w:numPr>
        <w:ind w:left="1080"/>
      </w:pPr>
      <w:r w:rsidRPr="003D3750">
        <w:rPr>
          <w:i/>
        </w:rPr>
        <w:t>Do not drill on the Journal ID for AP entries!</w:t>
      </w:r>
      <w:r>
        <w:t xml:space="preserve"> AP journals have thousands of lines and </w:t>
      </w:r>
      <w:r w:rsidR="00D603F8">
        <w:t>may</w:t>
      </w:r>
      <w:r>
        <w:t xml:space="preserve"> not load at all and if they do, you will still have to </w:t>
      </w:r>
      <w:r w:rsidR="003D3750">
        <w:t>find the correct journal line. Just don’t do it.</w:t>
      </w:r>
    </w:p>
    <w:p w:rsidR="004B0DF8" w:rsidRPr="003B08FD" w:rsidRDefault="003B08FD" w:rsidP="00460F55">
      <w:pPr>
        <w:pStyle w:val="ListParagraph"/>
        <w:numPr>
          <w:ilvl w:val="1"/>
          <w:numId w:val="7"/>
        </w:numPr>
        <w:ind w:left="1080"/>
      </w:pPr>
      <w:r w:rsidRPr="003B08FD">
        <w:t>If the Voucher ID includes “PP” it is a Procurement Card (</w:t>
      </w:r>
      <w:proofErr w:type="spellStart"/>
      <w:r w:rsidRPr="003B08FD">
        <w:t>PCard</w:t>
      </w:r>
      <w:proofErr w:type="spellEnd"/>
      <w:r w:rsidRPr="003B08FD">
        <w:t>) expense.</w:t>
      </w:r>
    </w:p>
    <w:sectPr w:rsidR="004B0DF8" w:rsidRPr="003B08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00" w:rsidRDefault="000F3B00" w:rsidP="00045D24">
      <w:pPr>
        <w:spacing w:after="0" w:line="240" w:lineRule="auto"/>
      </w:pPr>
      <w:r>
        <w:separator/>
      </w:r>
    </w:p>
  </w:endnote>
  <w:endnote w:type="continuationSeparator" w:id="0">
    <w:p w:rsidR="000F3B00" w:rsidRDefault="000F3B00" w:rsidP="0004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24" w:rsidRDefault="00460F55">
    <w:pPr>
      <w:pStyle w:val="Footer"/>
      <w:rPr>
        <w:sz w:val="18"/>
      </w:rPr>
    </w:pPr>
    <w:r>
      <w:rPr>
        <w:sz w:val="18"/>
      </w:rPr>
      <w:t>What to Review</w:t>
    </w:r>
    <w:r w:rsidR="00045D24">
      <w:rPr>
        <w:sz w:val="18"/>
      </w:rPr>
      <w:tab/>
    </w:r>
    <w:r w:rsidR="00045D24">
      <w:rPr>
        <w:sz w:val="18"/>
      </w:rPr>
      <w:tab/>
    </w:r>
    <w:r w:rsidR="00045D24">
      <w:rPr>
        <w:sz w:val="18"/>
      </w:rPr>
      <w:fldChar w:fldCharType="begin"/>
    </w:r>
    <w:r w:rsidR="00045D24">
      <w:rPr>
        <w:sz w:val="18"/>
      </w:rPr>
      <w:instrText xml:space="preserve"> DATE   \* MERGEFORMAT </w:instrText>
    </w:r>
    <w:r w:rsidR="00045D24">
      <w:rPr>
        <w:sz w:val="18"/>
      </w:rPr>
      <w:fldChar w:fldCharType="separate"/>
    </w:r>
    <w:r w:rsidR="009A52D6">
      <w:rPr>
        <w:noProof/>
        <w:sz w:val="18"/>
      </w:rPr>
      <w:t>8/25/2013</w:t>
    </w:r>
    <w:r w:rsidR="00045D24">
      <w:rPr>
        <w:sz w:val="18"/>
      </w:rPr>
      <w:fldChar w:fldCharType="end"/>
    </w:r>
  </w:p>
  <w:p w:rsidR="00045D24" w:rsidRPr="00045D24" w:rsidRDefault="00045D24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9A52D6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9A52D6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00" w:rsidRDefault="000F3B00" w:rsidP="00045D24">
      <w:pPr>
        <w:spacing w:after="0" w:line="240" w:lineRule="auto"/>
      </w:pPr>
      <w:r>
        <w:separator/>
      </w:r>
    </w:p>
  </w:footnote>
  <w:footnote w:type="continuationSeparator" w:id="0">
    <w:p w:rsidR="000F3B00" w:rsidRDefault="000F3B00" w:rsidP="0004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FC9"/>
    <w:multiLevelType w:val="hybridMultilevel"/>
    <w:tmpl w:val="F55E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3AA"/>
    <w:multiLevelType w:val="hybridMultilevel"/>
    <w:tmpl w:val="A3684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47B1C"/>
    <w:multiLevelType w:val="hybridMultilevel"/>
    <w:tmpl w:val="700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49F1"/>
    <w:multiLevelType w:val="hybridMultilevel"/>
    <w:tmpl w:val="F55E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091D"/>
    <w:multiLevelType w:val="hybridMultilevel"/>
    <w:tmpl w:val="9C64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6E29"/>
    <w:multiLevelType w:val="hybridMultilevel"/>
    <w:tmpl w:val="1668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13F12"/>
    <w:multiLevelType w:val="hybridMultilevel"/>
    <w:tmpl w:val="B870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575D"/>
    <w:multiLevelType w:val="hybridMultilevel"/>
    <w:tmpl w:val="4656D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330911"/>
    <w:multiLevelType w:val="hybridMultilevel"/>
    <w:tmpl w:val="CC2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121C9"/>
    <w:multiLevelType w:val="hybridMultilevel"/>
    <w:tmpl w:val="B8C0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11AFC"/>
    <w:multiLevelType w:val="hybridMultilevel"/>
    <w:tmpl w:val="F44C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59E7"/>
    <w:multiLevelType w:val="hybridMultilevel"/>
    <w:tmpl w:val="F9AA8656"/>
    <w:lvl w:ilvl="0" w:tplc="56B8518C">
      <w:numFmt w:val="bullet"/>
      <w:lvlText w:val="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42722"/>
    <w:multiLevelType w:val="hybridMultilevel"/>
    <w:tmpl w:val="9D7AE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484"/>
    <w:multiLevelType w:val="hybridMultilevel"/>
    <w:tmpl w:val="9AB6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5"/>
    <w:rsid w:val="00045D24"/>
    <w:rsid w:val="000F3B00"/>
    <w:rsid w:val="0010748B"/>
    <w:rsid w:val="00270C00"/>
    <w:rsid w:val="002D440A"/>
    <w:rsid w:val="00304384"/>
    <w:rsid w:val="00342EAD"/>
    <w:rsid w:val="003436E5"/>
    <w:rsid w:val="003452E3"/>
    <w:rsid w:val="003B08FD"/>
    <w:rsid w:val="003D3750"/>
    <w:rsid w:val="003F3D37"/>
    <w:rsid w:val="00460F55"/>
    <w:rsid w:val="004856AD"/>
    <w:rsid w:val="004A2133"/>
    <w:rsid w:val="004B0DF8"/>
    <w:rsid w:val="004E4837"/>
    <w:rsid w:val="00566C7E"/>
    <w:rsid w:val="00576F45"/>
    <w:rsid w:val="00582094"/>
    <w:rsid w:val="005D0E38"/>
    <w:rsid w:val="00633253"/>
    <w:rsid w:val="00644302"/>
    <w:rsid w:val="00646FAB"/>
    <w:rsid w:val="0066096E"/>
    <w:rsid w:val="006F2D5A"/>
    <w:rsid w:val="00705098"/>
    <w:rsid w:val="0077686F"/>
    <w:rsid w:val="007A62CD"/>
    <w:rsid w:val="00831655"/>
    <w:rsid w:val="00970A2C"/>
    <w:rsid w:val="009822E4"/>
    <w:rsid w:val="009A52D6"/>
    <w:rsid w:val="009B4CB0"/>
    <w:rsid w:val="009F71CE"/>
    <w:rsid w:val="00A07B47"/>
    <w:rsid w:val="00A12CC9"/>
    <w:rsid w:val="00A170F2"/>
    <w:rsid w:val="00B144F4"/>
    <w:rsid w:val="00B76554"/>
    <w:rsid w:val="00BA2B6C"/>
    <w:rsid w:val="00C7114F"/>
    <w:rsid w:val="00C766FB"/>
    <w:rsid w:val="00CF4B7C"/>
    <w:rsid w:val="00D20408"/>
    <w:rsid w:val="00D603F8"/>
    <w:rsid w:val="00DB2DDA"/>
    <w:rsid w:val="00DE795E"/>
    <w:rsid w:val="00F27B50"/>
    <w:rsid w:val="00F44A6E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F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0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24"/>
  </w:style>
  <w:style w:type="paragraph" w:styleId="Footer">
    <w:name w:val="footer"/>
    <w:basedOn w:val="Normal"/>
    <w:link w:val="FooterChar"/>
    <w:uiPriority w:val="99"/>
    <w:unhideWhenUsed/>
    <w:rsid w:val="0004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F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0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24"/>
  </w:style>
  <w:style w:type="paragraph" w:styleId="Footer">
    <w:name w:val="footer"/>
    <w:basedOn w:val="Normal"/>
    <w:link w:val="FooterChar"/>
    <w:uiPriority w:val="99"/>
    <w:unhideWhenUsed/>
    <w:rsid w:val="0004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5652-463A-4F89-ABD7-B3E22781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CIO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Wolens, Janis</dc:creator>
  <cp:lastModifiedBy>Wolens, Janis</cp:lastModifiedBy>
  <cp:revision>8</cp:revision>
  <cp:lastPrinted>2013-08-25T15:10:00Z</cp:lastPrinted>
  <dcterms:created xsi:type="dcterms:W3CDTF">2013-08-25T14:46:00Z</dcterms:created>
  <dcterms:modified xsi:type="dcterms:W3CDTF">2013-08-25T15:14:00Z</dcterms:modified>
</cp:coreProperties>
</file>